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0F0" w:rsidRPr="00FE2453" w:rsidRDefault="00FE2453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453">
        <w:rPr>
          <w:rFonts w:ascii="Times New Roman" w:hAnsi="Times New Roman" w:cs="Times New Roman"/>
          <w:b/>
          <w:sz w:val="24"/>
          <w:szCs w:val="24"/>
        </w:rPr>
        <w:t>CYBERCRIME</w:t>
      </w:r>
    </w:p>
    <w:p w:rsidR="00FE2453" w:rsidRPr="00FE2453" w:rsidRDefault="00FE2453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453">
        <w:rPr>
          <w:rFonts w:ascii="Times New Roman" w:hAnsi="Times New Roman" w:cs="Times New Roman"/>
          <w:b/>
          <w:sz w:val="24"/>
          <w:szCs w:val="24"/>
        </w:rPr>
        <w:t>Refe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FE2453">
        <w:rPr>
          <w:rFonts w:ascii="Times New Roman" w:hAnsi="Times New Roman" w:cs="Times New Roman"/>
          <w:b/>
          <w:sz w:val="24"/>
          <w:szCs w:val="24"/>
        </w:rPr>
        <w:t>ences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Yar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Steinmetz, K. F. (2019).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Cybercrime and society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McQuade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C. (2006).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and managing cybercrime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Boston: Pearson/Allyn and Bacon.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R., Barton, C.,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Böhme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Clayton, R., Van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Eeten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J., Levi, M</w:t>
      </w:r>
      <w:proofErr w:type="gram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Savage, S. (2013). Measurin</w:t>
      </w:r>
      <w:bookmarkStart w:id="0" w:name="_GoBack"/>
      <w:bookmarkEnd w:id="0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 the cost of cybercrime. In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economics of information security and privacy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265-300). Springer, Berlin, Heidelberg.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R., Barton, C.,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Böhme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Clayton, R., Van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Eeten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J., Levi, M</w:t>
      </w:r>
      <w:proofErr w:type="gram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Savage, S. (2013). Measuring the cost of cybercrime. In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economics of information security and privacy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265-300). Springer, Berlin, Heidelberg.</w:t>
      </w:r>
    </w:p>
    <w:p w:rsidR="00FE2453" w:rsidRPr="00FE2453" w:rsidRDefault="00FE2453" w:rsidP="00FE245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E2453" w:rsidRPr="00FE2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53"/>
    <w:rsid w:val="00246EE5"/>
    <w:rsid w:val="004226BA"/>
    <w:rsid w:val="00B630F0"/>
    <w:rsid w:val="00B837BE"/>
    <w:rsid w:val="00FE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31CEC-1B3A-4EE5-9372-58A853C6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2021-09-26T02:19:00Z</dcterms:created>
  <dcterms:modified xsi:type="dcterms:W3CDTF">2021-09-26T02:30:00Z</dcterms:modified>
</cp:coreProperties>
</file>